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15701"/>
      </w:tblGrid>
      <w:tr>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b/>
                <w:b/>
              </w:rPr>
            </w:pPr>
            <w:r>
              <w:rPr>
                <w:b/>
              </w:rPr>
              <w:t xml:space="preserve">                                                             </w:t>
            </w:r>
          </w:p>
          <w:p>
            <w:pPr>
              <w:pStyle w:val="Normal"/>
              <w:jc w:val="center"/>
              <w:rPr>
                <w:b/>
                <w:b/>
              </w:rPr>
            </w:pPr>
            <w:r>
              <w:rPr>
                <w:b/>
              </w:rPr>
              <w:t>ISTITUTO COMPRENSIVO STATALE</w:t>
            </w:r>
          </w:p>
          <w:p>
            <w:pPr>
              <w:pStyle w:val="Normal"/>
              <w:jc w:val="center"/>
              <w:rPr/>
            </w:pPr>
            <w:r>
              <w:rPr>
                <w:b/>
              </w:rPr>
              <w:t>TORANO C. - LATTARICO  (CS)</w:t>
            </w:r>
          </w:p>
          <w:p>
            <w:pPr>
              <w:pStyle w:val="Normal"/>
              <w:spacing w:before="0" w:after="200"/>
              <w:rPr>
                <w:b/>
                <w:b/>
                <w:i/>
                <w:i/>
              </w:rPr>
            </w:pPr>
            <w:r>
              <w:rPr>
                <w:b/>
                <w:i/>
              </w:rPr>
            </w:r>
          </w:p>
        </w:tc>
      </w:tr>
    </w:tbl>
    <w:p>
      <w:pPr>
        <w:pStyle w:val="Normal"/>
        <w:rPr/>
      </w:pPr>
      <w:r>
        <w:rPr/>
      </w:r>
    </w:p>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15701"/>
      </w:tblGrid>
      <w:tr>
        <w:trPr>
          <w:trHeight w:val="641" w:hRule="atLeast"/>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b/>
                <w:b/>
              </w:rPr>
            </w:pPr>
            <w:r>
              <w:rPr>
                <w:b/>
              </w:rPr>
              <w:t>PIANO DI LAVORO DISCIPLINARE</w:t>
            </w:r>
          </w:p>
          <w:p>
            <w:pPr>
              <w:pStyle w:val="Normal"/>
              <w:spacing w:before="0" w:after="200"/>
              <w:jc w:val="center"/>
              <w:rPr>
                <w:b/>
                <w:b/>
                <w:i/>
                <w:i/>
              </w:rPr>
            </w:pPr>
            <w:r>
              <w:rPr>
                <w:b/>
                <w:i/>
              </w:rPr>
              <w:t>A s 2019 /2020</w:t>
            </w:r>
          </w:p>
        </w:tc>
      </w:tr>
    </w:tbl>
    <w:p>
      <w:pPr>
        <w:pStyle w:val="Normal"/>
        <w:rPr/>
      </w:pPr>
      <w:r>
        <w:rPr/>
      </w:r>
    </w:p>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4889"/>
        <w:gridCol w:w="10811"/>
      </w:tblGrid>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Scuola secondaria di primo grado</w:t>
            </w:r>
          </w:p>
        </w:tc>
        <w:tc>
          <w:tcPr>
            <w:tcW w:w="10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Cs/>
              </w:rPr>
            </w:pPr>
            <w:r>
              <w:rPr>
                <w:b/>
              </w:rPr>
              <w:t>Docente: Pasquale Naccarato</w:t>
            </w:r>
          </w:p>
        </w:tc>
      </w:tr>
    </w:tbl>
    <w:p>
      <w:pPr>
        <w:pStyle w:val="Normal"/>
        <w:rPr/>
      </w:pPr>
      <w:r>
        <w:rPr/>
        <w:t xml:space="preserve">                                                                                                                                                                           </w:t>
      </w:r>
    </w:p>
    <w:tbl>
      <w:tblPr>
        <w:tblW w:w="4928"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4928"/>
      </w:tblGrid>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b/>
                <w:b/>
                <w:bCs/>
              </w:rPr>
            </w:pPr>
            <w:r>
              <w:rPr>
                <w:b/>
              </w:rPr>
              <w:t>CLASSE: Seconda</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pPr>
            <w:r>
              <w:rPr>
                <w:b/>
              </w:rPr>
              <w:t>SEZIONE: B</w:t>
            </w:r>
          </w:p>
        </w:tc>
      </w:tr>
    </w:tbl>
    <w:p>
      <w:pPr>
        <w:pStyle w:val="Normal"/>
        <w:rPr>
          <w:vanish/>
        </w:rPr>
      </w:pPr>
      <w:r>
        <w:rPr>
          <w:vanish/>
        </w:rPr>
      </w:r>
    </w:p>
    <w:p>
      <w:pPr>
        <w:pStyle w:val="Normal"/>
        <w:rPr/>
      </w:pPr>
      <w:r>
        <mc:AlternateContent>
          <mc:Choice Requires="wps">
            <w:drawing>
              <wp:anchor behindDoc="0" distT="0" distB="0" distL="89535" distR="89535" simplePos="0" locked="0" layoutInCell="1" allowOverlap="1" relativeHeight="2">
                <wp:simplePos x="0" y="0"/>
                <wp:positionH relativeFrom="page">
                  <wp:posOffset>4298950</wp:posOffset>
                </wp:positionH>
                <wp:positionV relativeFrom="paragraph">
                  <wp:posOffset>-394970</wp:posOffset>
                </wp:positionV>
                <wp:extent cx="6191250" cy="480695"/>
                <wp:effectExtent l="0" t="0" r="0" b="0"/>
                <wp:wrapSquare wrapText="bothSides"/>
                <wp:docPr id="1" name="Cornice1"/>
                <a:graphic xmlns:a="http://schemas.openxmlformats.org/drawingml/2006/main">
                  <a:graphicData uri="http://schemas.microsoft.com/office/word/2010/wordprocessingShape">
                    <wps:wsp>
                      <wps:cNvSpPr/>
                      <wps:spPr>
                        <a:xfrm>
                          <a:off x="0" y="0"/>
                          <a:ext cx="6190560" cy="480240"/>
                        </a:xfrm>
                        <a:prstGeom prst="rect">
                          <a:avLst/>
                        </a:prstGeom>
                        <a:noFill/>
                        <a:ln>
                          <a:noFill/>
                        </a:ln>
                      </wps:spPr>
                      <wps:style>
                        <a:lnRef idx="0"/>
                        <a:fillRef idx="0"/>
                        <a:effectRef idx="0"/>
                        <a:fontRef idx="minor"/>
                      </wps:style>
                      <wps:txbx>
                        <w:txbxContent>
                          <w:tbl>
                            <w:tblPr>
                              <w:tblW w:w="9747"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9747"/>
                            </w:tblGrid>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88" w:type="dxa"/>
                                  </w:tcMar>
                                </w:tcPr>
                                <w:p>
                                  <w:pPr>
                                    <w:pStyle w:val="Normal"/>
                                    <w:widowControl/>
                                    <w:bidi w:val="0"/>
                                    <w:spacing w:lineRule="auto" w:line="276" w:before="0" w:after="200"/>
                                    <w:jc w:val="left"/>
                                    <w:rPr>
                                      <w:color w:val="00000A"/>
                                    </w:rPr>
                                  </w:pPr>
                                  <w:r>
                                    <w:rPr>
                                      <w:b/>
                                      <w:color w:val="00000A"/>
                                    </w:rPr>
                                    <w:t>DISCIPLINA: Educazione Musicale</w:t>
                                  </w:r>
                                </w:p>
                              </w:tc>
                            </w:tr>
                          </w:tbl>
                          <w:p>
                            <w:pPr>
                              <w:pStyle w:val="Contenutocornice"/>
                              <w:spacing w:before="0" w:after="200"/>
                              <w:rPr/>
                            </w:pPr>
                            <w:r>
                              <w:rPr/>
                            </w:r>
                          </w:p>
                        </w:txbxContent>
                      </wps:txbx>
                      <wps:bodyPr lIns="0" rIns="0" tIns="0" bIns="0">
                        <a:spAutoFit/>
                      </wps:bodyPr>
                    </wps:wsp>
                  </a:graphicData>
                </a:graphic>
              </wp:anchor>
            </w:drawing>
          </mc:Choice>
          <mc:Fallback>
            <w:pict>
              <v:rect id="shape_0" ID="Cornice1" stroked="f" style="position:absolute;margin-left:338.5pt;margin-top:-31.1pt;width:487.4pt;height:37.75pt;mso-position-horizontal-relative:page">
                <w10:wrap type="none"/>
                <v:fill o:detectmouseclick="t" on="false"/>
                <v:stroke color="#3465a4" joinstyle="round" endcap="flat"/>
                <v:textbox>
                  <w:txbxContent>
                    <w:tbl>
                      <w:tblPr>
                        <w:tblW w:w="9747"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9747"/>
                      </w:tblGrid>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88" w:type="dxa"/>
                            </w:tcMar>
                          </w:tcPr>
                          <w:p>
                            <w:pPr>
                              <w:pStyle w:val="Normal"/>
                              <w:widowControl/>
                              <w:bidi w:val="0"/>
                              <w:spacing w:lineRule="auto" w:line="276" w:before="0" w:after="200"/>
                              <w:jc w:val="left"/>
                              <w:rPr>
                                <w:color w:val="00000A"/>
                              </w:rPr>
                            </w:pPr>
                            <w:r>
                              <w:rPr>
                                <w:b/>
                                <w:color w:val="00000A"/>
                              </w:rPr>
                              <w:t>DISCIPLINA: Educazione Musicale</w:t>
                            </w:r>
                          </w:p>
                        </w:tc>
                      </w:tr>
                    </w:tbl>
                    <w:p>
                      <w:pPr>
                        <w:pStyle w:val="Contenutocornice"/>
                        <w:spacing w:before="0" w:after="200"/>
                        <w:rPr/>
                      </w:pPr>
                      <w:r>
                        <w:rPr/>
                      </w:r>
                    </w:p>
                  </w:txbxContent>
                </v:textbox>
              </v:rect>
            </w:pict>
          </mc:Fallback>
        </mc:AlternateContent>
      </w:r>
      <w:r>
        <w:rPr/>
        <w:t xml:space="preserve"> </w:t>
      </w:r>
    </w:p>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5919"/>
        <w:gridCol w:w="9781"/>
      </w:tblGrid>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pPr>
            <w:r>
              <w:rPr>
                <w:b/>
              </w:rPr>
              <w:t>Livello della classe</w:t>
            </w:r>
          </w:p>
        </w:tc>
        <w:tc>
          <w:tcPr>
            <w:tcW w:w="9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pPr>
            <w:r>
              <w:rPr>
                <w:b/>
              </w:rPr>
              <w:t>Tipologia della classe</w:t>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numPr>
                <w:ilvl w:val="0"/>
                <w:numId w:val="0"/>
              </w:numPr>
              <w:bidi w:val="0"/>
              <w:spacing w:lineRule="auto" w:line="276" w:before="0" w:after="200"/>
              <w:ind w:left="1117" w:right="0" w:hanging="0"/>
              <w:jc w:val="left"/>
              <w:rPr/>
            </w:pPr>
            <w:r>
              <w:rPr/>
              <w:t>X Medio- alto</w:t>
            </w:r>
          </w:p>
          <w:p>
            <w:pPr>
              <w:pStyle w:val="Normal"/>
              <w:spacing w:lineRule="auto" w:line="276"/>
              <w:rPr/>
            </w:pPr>
            <w:r>
              <w:rPr>
                <w:b/>
              </w:rPr>
              <w:t xml:space="preserve">         </w:t>
            </w:r>
            <w:r>
              <w:rPr/>
              <w:t xml:space="preserve">                </w:t>
            </w:r>
            <w:r>
              <w:rPr/>
              <w:t>Medio</w:t>
            </w:r>
          </w:p>
          <w:p>
            <w:pPr>
              <w:pStyle w:val="Normal"/>
              <w:numPr>
                <w:ilvl w:val="0"/>
                <w:numId w:val="0"/>
              </w:numPr>
              <w:spacing w:lineRule="auto" w:line="276"/>
              <w:ind w:left="720" w:hanging="0"/>
              <w:rPr/>
            </w:pPr>
            <w:r>
              <w:rPr/>
              <w:t xml:space="preserve">           </w:t>
            </w:r>
            <w:r>
              <w:rPr/>
              <w:t>Medio-basso</w:t>
            </w:r>
          </w:p>
          <w:p>
            <w:pPr>
              <w:pStyle w:val="Normal"/>
              <w:numPr>
                <w:ilvl w:val="0"/>
                <w:numId w:val="0"/>
              </w:numPr>
              <w:spacing w:lineRule="auto" w:line="276" w:before="0" w:after="200"/>
              <w:ind w:left="720" w:hanging="0"/>
              <w:rPr/>
            </w:pPr>
            <w:r>
              <w:rPr/>
              <w:t xml:space="preserve">           </w:t>
            </w:r>
            <w:r>
              <w:rPr/>
              <w:t>Basso</w:t>
            </w:r>
          </w:p>
        </w:tc>
        <w:tc>
          <w:tcPr>
            <w:tcW w:w="9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ind w:left="360" w:hanging="0"/>
              <w:rPr/>
            </w:pPr>
            <w:r>
              <w:rPr/>
              <w:t xml:space="preserve">   </w:t>
            </w:r>
            <w:r>
              <w:rPr/>
              <w:t>Vivace</w:t>
            </w:r>
          </w:p>
          <w:p>
            <w:pPr>
              <w:pStyle w:val="Normal"/>
              <w:spacing w:lineRule="auto" w:line="276"/>
              <w:rPr/>
            </w:pPr>
            <w:r>
              <w:rPr/>
              <w:t xml:space="preserve">       </w:t>
            </w:r>
            <w:r>
              <w:rPr/>
              <w:t>X Tranquilla</w:t>
            </w:r>
          </w:p>
          <w:p>
            <w:pPr>
              <w:pStyle w:val="Normal"/>
              <w:spacing w:lineRule="auto" w:line="276"/>
              <w:rPr/>
            </w:pPr>
            <w:r>
              <w:rPr/>
              <w:t xml:space="preserve">           </w:t>
            </w:r>
            <w:r>
              <w:rPr/>
              <w:t>Collaborativa</w:t>
            </w:r>
          </w:p>
          <w:p>
            <w:pPr>
              <w:pStyle w:val="Normal"/>
              <w:spacing w:lineRule="auto" w:line="276"/>
              <w:rPr/>
            </w:pPr>
            <w:r>
              <w:rPr/>
              <w:t xml:space="preserve">           </w:t>
            </w:r>
            <w:r>
              <w:rPr/>
              <w:t>Problematica</w:t>
            </w:r>
          </w:p>
          <w:p>
            <w:pPr>
              <w:pStyle w:val="Normal"/>
              <w:widowControl/>
              <w:bidi w:val="0"/>
              <w:spacing w:lineRule="auto" w:line="276" w:before="0" w:after="200"/>
              <w:jc w:val="left"/>
              <w:rPr/>
            </w:pPr>
            <w:r>
              <w:rPr/>
            </w:r>
          </w:p>
        </w:tc>
      </w:tr>
    </w:tbl>
    <w:p>
      <w:pPr>
        <w:pStyle w:val="Normal"/>
        <w:rPr/>
      </w:pPr>
      <w:r>
        <w:rPr/>
      </w:r>
    </w:p>
    <w:p>
      <w:pPr>
        <w:pStyle w:val="Normal"/>
        <w:rPr/>
      </w:pPr>
      <w:r>
        <w:rPr/>
      </w:r>
    </w:p>
    <w:p>
      <w:pPr>
        <w:pStyle w:val="Normal"/>
        <w:rPr/>
      </w:pPr>
      <w:r>
        <w:rPr/>
      </w:r>
    </w:p>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15701"/>
      </w:tblGrid>
      <w:tr>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spacing w:lineRule="auto" w:line="276"/>
              <w:rPr>
                <w:b/>
                <w:b/>
                <w:i/>
                <w:i/>
              </w:rPr>
            </w:pPr>
            <w:r>
              <w:rPr/>
              <w:t>SITUAZIONE INIZIALE DELLA CLASSE</w:t>
            </w:r>
          </w:p>
          <w:p>
            <w:pPr>
              <w:pStyle w:val="Normal"/>
              <w:spacing w:lineRule="auto" w:line="276"/>
              <w:rPr>
                <w:b/>
                <w:b/>
                <w:i/>
                <w:i/>
              </w:rPr>
            </w:pPr>
            <w:r>
              <w:rPr>
                <w:b/>
                <w:i/>
              </w:rPr>
              <w:t xml:space="preserve">Quest’anno la classe, nel complesso, si presenta tranquilla e collaborativa. Si mostra interessata nell’approccio allo studio che, per quasi tutta la classe  risulta positivo. Sereno è lo svolgimento della lezione. </w:t>
            </w:r>
          </w:p>
          <w:p>
            <w:pPr>
              <w:pStyle w:val="Normal"/>
              <w:spacing w:lineRule="auto" w:line="276"/>
              <w:rPr>
                <w:b/>
                <w:b/>
                <w:i/>
                <w:i/>
              </w:rPr>
            </w:pPr>
            <w:r>
              <w:rPr>
                <w:b/>
                <w:i/>
              </w:rPr>
              <w:t>Da parte di tutti i docenti sono state attivate strategie di recupero dell’attenzione, di attivazione di motivazioni e correttivi sul comportamento.</w:t>
            </w:r>
          </w:p>
          <w:p>
            <w:pPr>
              <w:pStyle w:val="Normal"/>
              <w:widowControl/>
              <w:bidi w:val="0"/>
              <w:spacing w:lineRule="auto" w:line="276" w:before="0" w:after="200"/>
              <w:jc w:val="left"/>
              <w:rPr/>
            </w:pPr>
            <w:r>
              <w:rPr/>
            </w:r>
          </w:p>
        </w:tc>
      </w:tr>
      <w:tr>
        <w:trPr>
          <w:trHeight w:val="2399" w:hRule="atLeast"/>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rPr>
                <w:i/>
                <w:i/>
              </w:rPr>
            </w:pPr>
            <w:r>
              <w:rPr>
                <w:i/>
              </w:rPr>
              <w:t>(Descrivere in sintesi la composizione e la situazione di partenza della classe, mettendo in evidenza la consistenza numerica o la percentuale delle fasce di livello)</w:t>
            </w:r>
          </w:p>
          <w:p>
            <w:pPr>
              <w:pStyle w:val="Normal"/>
              <w:spacing w:lineRule="auto" w:line="276"/>
              <w:rPr>
                <w:i/>
                <w:i/>
              </w:rPr>
            </w:pPr>
            <w:r>
              <w:rPr>
                <w:i/>
              </w:rPr>
            </w:r>
          </w:p>
          <w:p>
            <w:pPr>
              <w:pStyle w:val="Normal"/>
              <w:spacing w:lineRule="auto" w:line="276"/>
              <w:rPr>
                <w:b/>
                <w:b/>
                <w:color w:val="FF0000"/>
              </w:rPr>
            </w:pPr>
            <w:r>
              <w:rPr>
                <w:b/>
                <w:color w:val="FF0000"/>
              </w:rPr>
              <w:t xml:space="preserve">I fascia         Livello elevato                 Voto =  9 – 10 </w:t>
            </w:r>
          </w:p>
          <w:p>
            <w:pPr>
              <w:pStyle w:val="Normal"/>
              <w:spacing w:lineRule="auto" w:line="276"/>
              <w:rPr>
                <w:b/>
                <w:b/>
              </w:rPr>
            </w:pPr>
            <w:r>
              <w:rPr>
                <w:b/>
              </w:rPr>
              <w:t>Alunni  /</w:t>
            </w:r>
          </w:p>
          <w:p>
            <w:pPr>
              <w:pStyle w:val="Normal"/>
              <w:spacing w:lineRule="auto" w:line="276"/>
              <w:rPr>
                <w:b/>
                <w:b/>
                <w:color w:val="FF0000"/>
              </w:rPr>
            </w:pPr>
            <w:r>
              <w:rPr>
                <w:b/>
                <w:color w:val="FF0000"/>
              </w:rPr>
              <w:t>II fascia       Livello intermedio           Voto =    7 - 8</w:t>
            </w:r>
          </w:p>
          <w:p>
            <w:pPr>
              <w:pStyle w:val="Normal"/>
              <w:spacing w:lineRule="auto" w:line="276"/>
              <w:rPr>
                <w:b/>
                <w:b/>
              </w:rPr>
            </w:pPr>
            <w:r>
              <w:rPr>
                <w:b/>
              </w:rPr>
              <w:t>5 alunni</w:t>
            </w:r>
          </w:p>
          <w:p>
            <w:pPr>
              <w:pStyle w:val="Normal"/>
              <w:spacing w:lineRule="auto" w:line="276"/>
              <w:rPr>
                <w:b/>
                <w:b/>
                <w:color w:val="FF0000"/>
              </w:rPr>
            </w:pPr>
            <w:r>
              <w:rPr>
                <w:b/>
                <w:color w:val="FF0000"/>
              </w:rPr>
              <w:t>III fascia      Livello base                      Voto = 6</w:t>
            </w:r>
          </w:p>
          <w:p>
            <w:pPr>
              <w:pStyle w:val="Normal"/>
              <w:spacing w:lineRule="auto" w:line="276"/>
              <w:rPr/>
            </w:pPr>
            <w:r>
              <w:rPr>
                <w:b/>
              </w:rPr>
              <w:t>restanti  alunni</w:t>
            </w:r>
          </w:p>
          <w:p>
            <w:pPr>
              <w:pStyle w:val="Normal"/>
              <w:spacing w:lineRule="auto" w:line="276"/>
              <w:rPr>
                <w:b/>
                <w:b/>
                <w:color w:val="FF0000"/>
              </w:rPr>
            </w:pPr>
            <w:r>
              <w:rPr>
                <w:b/>
                <w:color w:val="FF0000"/>
              </w:rPr>
              <w:t>IV fascia      Livello non sufficiente     Voto &lt; 6</w:t>
            </w:r>
          </w:p>
          <w:p>
            <w:pPr>
              <w:pStyle w:val="Normal"/>
              <w:spacing w:lineRule="auto" w:line="276"/>
              <w:rPr>
                <w:b/>
                <w:b/>
              </w:rPr>
            </w:pPr>
            <w:r>
              <w:rPr>
                <w:b/>
              </w:rPr>
              <w:t>Alunni /</w:t>
            </w:r>
          </w:p>
          <w:p>
            <w:pPr>
              <w:pStyle w:val="Normal"/>
              <w:spacing w:lineRule="auto" w:line="276"/>
              <w:rPr/>
            </w:pPr>
            <w:r>
              <w:rPr>
                <w:b/>
                <w:color w:val="FF0000"/>
              </w:rPr>
              <w:t xml:space="preserve">Casi particolari:   </w:t>
            </w:r>
            <w:r>
              <w:rPr>
                <w:b/>
                <w:color w:val="000000"/>
              </w:rPr>
              <w:t>/</w:t>
            </w:r>
          </w:p>
          <w:p>
            <w:pPr>
              <w:pStyle w:val="Normal"/>
              <w:spacing w:lineRule="auto" w:line="276"/>
              <w:rPr>
                <w:b/>
                <w:b/>
              </w:rPr>
            </w:pPr>
            <w:r>
              <w:rPr>
                <w:b/>
              </w:rPr>
            </w:r>
          </w:p>
          <w:p>
            <w:pPr>
              <w:pStyle w:val="Normal"/>
              <w:spacing w:lineRule="auto" w:line="276"/>
              <w:rPr/>
            </w:pPr>
            <w:r>
              <w:rPr/>
              <w:tab/>
            </w:r>
          </w:p>
          <w:p>
            <w:pPr>
              <w:pStyle w:val="Normal"/>
              <w:widowControl/>
              <w:bidi w:val="0"/>
              <w:spacing w:lineRule="auto" w:line="276" w:before="0" w:after="200"/>
              <w:jc w:val="left"/>
              <w:rPr/>
            </w:pPr>
            <w:r>
              <w:rPr/>
            </w:r>
          </w:p>
        </w:tc>
      </w:tr>
    </w:tbl>
    <w:p>
      <w:pPr>
        <w:pStyle w:val="Normal"/>
        <w:rPr>
          <w:b/>
          <w:b/>
          <w:i/>
          <w:i/>
        </w:rPr>
      </w:pPr>
      <w:r>
        <w:rPr>
          <w:b/>
          <w:i/>
        </w:rPr>
        <w:t xml:space="preserve"> </w:t>
      </w:r>
    </w:p>
    <w:p>
      <w:pPr>
        <w:pStyle w:val="Normal"/>
        <w:rPr>
          <w:b/>
          <w:b/>
          <w:i/>
          <w:i/>
        </w:rPr>
      </w:pPr>
      <w:r>
        <w:rPr>
          <w:b/>
          <w:i/>
        </w:rPr>
      </w:r>
    </w:p>
    <w:p>
      <w:pPr>
        <w:pStyle w:val="Normal"/>
        <w:rPr>
          <w:b/>
          <w:b/>
          <w:i/>
          <w:i/>
        </w:rPr>
      </w:pPr>
      <w:r>
        <w:rPr>
          <w:b/>
          <w:i/>
        </w:rPr>
        <w:t>SCHEDA DI PROGETTAZIONE DISCIPLINARE</w:t>
      </w:r>
    </w:p>
    <w:p>
      <w:pPr>
        <w:pStyle w:val="Normal"/>
        <w:rPr>
          <w:i/>
          <w:i/>
        </w:rPr>
      </w:pPr>
      <w:r>
        <w:rPr>
          <w:i/>
        </w:rPr>
      </w:r>
    </w:p>
    <w:tbl>
      <w:tblPr>
        <w:tblW w:w="15559"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698"/>
        <w:gridCol w:w="11860"/>
      </w:tblGrid>
      <w:tr>
        <w:trPr/>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DISCIPLINA</w:t>
            </w:r>
          </w:p>
        </w:tc>
        <w:tc>
          <w:tcPr>
            <w:tcW w:w="1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EDUCAZIONE MUSICALE</w:t>
            </w:r>
          </w:p>
        </w:tc>
      </w:tr>
      <w:tr>
        <w:trPr/>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AMBITO</w:t>
            </w:r>
          </w:p>
        </w:tc>
        <w:tc>
          <w:tcPr>
            <w:tcW w:w="1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Linguistico-espressivo</w:t>
            </w:r>
          </w:p>
        </w:tc>
      </w:tr>
    </w:tbl>
    <w:p>
      <w:pPr>
        <w:pStyle w:val="Normal"/>
        <w:rPr>
          <w:i/>
          <w:i/>
        </w:rPr>
      </w:pPr>
      <w:r>
        <w:rPr>
          <w:i/>
        </w:rPr>
      </w:r>
    </w:p>
    <w:tbl>
      <w:tblPr>
        <w:tblStyle w:val="Grigliatabella"/>
        <w:tblW w:w="15559" w:type="dxa"/>
        <w:jc w:val="left"/>
        <w:tblInd w:w="-15" w:type="dxa"/>
        <w:tblCellMar>
          <w:top w:w="0" w:type="dxa"/>
          <w:left w:w="93" w:type="dxa"/>
          <w:bottom w:w="0" w:type="dxa"/>
          <w:right w:w="108" w:type="dxa"/>
        </w:tblCellMar>
        <w:tblLook w:val="04a0"/>
      </w:tblPr>
      <w:tblGrid>
        <w:gridCol w:w="3928"/>
        <w:gridCol w:w="3926"/>
        <w:gridCol w:w="49"/>
        <w:gridCol w:w="3873"/>
        <w:gridCol w:w="93"/>
        <w:gridCol w:w="3689"/>
      </w:tblGrid>
      <w:tr>
        <w:trPr>
          <w:trHeight w:val="278"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Contenuti</w:t>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CONOSCENZE</w:t>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ABILITA’</w:t>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COMPETENZE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r>
      <w:tr>
        <w:trPr>
          <w:trHeight w:val="277"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i/>
                <w:i/>
              </w:rPr>
            </w:pPr>
            <w:r>
              <w:rPr>
                <w:rFonts w:eastAsia="Times New Roman" w:cs="Times New Roman" w:ascii="Times New Roman" w:hAnsi="Times New Roman"/>
                <w:i/>
                <w:sz w:val="20"/>
                <w:szCs w:val="20"/>
                <w:lang w:eastAsia="it-IT"/>
              </w:rPr>
              <w:t>Nuclei fondanti</w:t>
            </w:r>
          </w:p>
          <w:p>
            <w:pPr>
              <w:pStyle w:val="Normal"/>
              <w:spacing w:lineRule="auto" w:line="276" w:before="0" w:after="0"/>
              <w:rPr>
                <w:i/>
                <w:i/>
              </w:rPr>
            </w:pPr>
            <w:r>
              <w:rPr>
                <w:rFonts w:eastAsia="Times New Roman" w:cs="Times New Roman" w:ascii="Times New Roman" w:hAnsi="Times New Roman"/>
                <w:i/>
                <w:sz w:val="20"/>
                <w:szCs w:val="20"/>
                <w:lang w:eastAsia="it-IT"/>
              </w:rPr>
              <w:t>tematici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i/>
                <w:i/>
                <w:sz w:val="20"/>
                <w:szCs w:val="20"/>
                <w:lang w:eastAsia="it-IT"/>
              </w:rPr>
            </w:pPr>
            <w:r>
              <w:rPr>
                <w:rFonts w:eastAsia="Times New Roman" w:cs="Times New Roman" w:ascii="Times New Roman" w:hAnsi="Times New Roman"/>
                <w:i/>
                <w:sz w:val="20"/>
                <w:szCs w:val="20"/>
                <w:lang w:eastAsia="it-IT"/>
              </w:rPr>
            </w:r>
          </w:p>
          <w:p>
            <w:pPr>
              <w:pStyle w:val="Normal"/>
              <w:spacing w:lineRule="auto" w:line="276" w:before="0" w:after="0"/>
              <w:rPr>
                <w:i/>
                <w:i/>
              </w:rPr>
            </w:pPr>
            <w:r>
              <w:rPr>
                <w:rFonts w:eastAsia="Times New Roman" w:cs="Times New Roman" w:ascii="Times New Roman" w:hAnsi="Times New Roman"/>
                <w:i/>
                <w:sz w:val="20"/>
                <w:szCs w:val="20"/>
                <w:lang w:eastAsia="it-IT"/>
              </w:rPr>
              <w:t>Indicano il risultato dell’assimilazione di informazioni attraverso l’apprendimento.</w:t>
            </w:r>
          </w:p>
          <w:p>
            <w:pPr>
              <w:pStyle w:val="Normal"/>
              <w:spacing w:lineRule="auto" w:line="276" w:before="0" w:after="0"/>
              <w:rPr>
                <w:i/>
                <w:i/>
              </w:rPr>
            </w:pPr>
            <w:r>
              <w:rPr>
                <w:rFonts w:eastAsia="Times New Roman" w:cs="Times New Roman" w:ascii="Times New Roman" w:hAnsi="Times New Roman"/>
                <w:i/>
                <w:sz w:val="20"/>
                <w:szCs w:val="20"/>
                <w:lang w:eastAsia="it-IT"/>
              </w:rPr>
              <w:t xml:space="preserve">Teoriche o pratiche, </w:t>
            </w:r>
          </w:p>
          <w:p>
            <w:pPr>
              <w:pStyle w:val="Normal"/>
              <w:spacing w:lineRule="auto" w:line="276" w:before="0" w:after="0"/>
              <w:rPr>
                <w:i/>
                <w:i/>
              </w:rPr>
            </w:pPr>
            <w:r>
              <w:rPr>
                <w:rFonts w:eastAsia="Times New Roman" w:cs="Times New Roman" w:ascii="Times New Roman" w:hAnsi="Times New Roman"/>
                <w:i/>
                <w:sz w:val="20"/>
                <w:szCs w:val="20"/>
                <w:lang w:eastAsia="it-IT"/>
              </w:rPr>
              <w:t>sono l’insieme di fatti, principi, teorie e pratiche, relative a un settore di studio o di lavoro.</w:t>
            </w:r>
          </w:p>
          <w:p>
            <w:pPr>
              <w:pStyle w:val="Normal"/>
              <w:spacing w:lineRule="auto" w:line="276" w:before="0" w:after="0"/>
              <w:rPr>
                <w:rFonts w:ascii="Times New Roman" w:hAnsi="Times New Roman" w:eastAsia="Times New Roman" w:cs="Times New Roman"/>
                <w:i/>
                <w:i/>
                <w:sz w:val="20"/>
                <w:szCs w:val="20"/>
                <w:lang w:eastAsia="it-IT"/>
              </w:rPr>
            </w:pPr>
            <w:r>
              <w:rPr>
                <w:rFonts w:eastAsia="Times New Roman" w:cs="Times New Roman" w:ascii="Times New Roman" w:hAnsi="Times New Roman"/>
                <w:i/>
                <w:sz w:val="20"/>
                <w:szCs w:val="20"/>
                <w:lang w:eastAsia="it-IT"/>
              </w:rPr>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i/>
                <w:i/>
              </w:rPr>
            </w:pPr>
            <w:r>
              <w:rPr>
                <w:rFonts w:eastAsia="Times New Roman" w:cs="Times New Roman" w:ascii="Times New Roman" w:hAnsi="Times New Roman"/>
                <w:i/>
                <w:sz w:val="20"/>
                <w:szCs w:val="20"/>
                <w:lang w:eastAsia="it-IT"/>
              </w:rPr>
              <w:t xml:space="preserve">Indicano la capacità di applicare conoscenze per portare a termine compiti e risolvere problemi. </w:t>
            </w:r>
          </w:p>
          <w:p>
            <w:pPr>
              <w:pStyle w:val="Normal"/>
              <w:spacing w:lineRule="auto" w:line="276" w:before="0" w:after="0"/>
              <w:rPr>
                <w:i/>
                <w:i/>
              </w:rPr>
            </w:pPr>
            <w:r>
              <w:rPr>
                <w:rFonts w:eastAsia="Times New Roman" w:cs="Times New Roman" w:ascii="Times New Roman" w:hAnsi="Times New Roman"/>
                <w:i/>
                <w:sz w:val="20"/>
                <w:szCs w:val="20"/>
                <w:lang w:eastAsia="it-IT"/>
              </w:rPr>
              <w:t>Le abilità sono descritte come cognitive (uso del pensiero logico, intuitivo o creativo) e pratiche (che implicano l’abilità manuale e l’uso di metodi, materiali, strumenti)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i/>
                <w:sz w:val="20"/>
                <w:szCs w:val="20"/>
                <w:lang w:eastAsia="it-IT"/>
              </w:rPr>
              <w:t>Comprovata capacità di usare conoscenze, abilità e capacità personali, sociali e/o metodologiche, in situazioni di lavoro o di studio e nello sviluppo professionale e/o personale; le competenze sono descritte in termini di responsabilità e autonomia.</w:t>
            </w:r>
          </w:p>
        </w:tc>
      </w:tr>
      <w:tr>
        <w:trPr>
          <w:trHeight w:val="277"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b/>
                <w:b/>
              </w:rPr>
            </w:pPr>
            <w:r>
              <w:rPr>
                <w:rFonts w:eastAsia="Times New Roman" w:cs="Times New Roman" w:ascii="Times New Roman" w:hAnsi="Times New Roman"/>
                <w:b/>
                <w:sz w:val="20"/>
                <w:szCs w:val="20"/>
                <w:lang w:eastAsia="it-IT"/>
              </w:rPr>
              <w:t>IL SUONO</w:t>
            </w:r>
          </w:p>
          <w:p>
            <w:pPr>
              <w:pStyle w:val="Normal"/>
              <w:spacing w:lineRule="auto" w:line="276" w:before="0" w:after="0"/>
              <w:rPr>
                <w:b/>
                <w:b/>
              </w:rPr>
            </w:pPr>
            <w:r>
              <w:rPr>
                <w:rFonts w:eastAsia="Times New Roman" w:cs="Times New Roman" w:ascii="Times New Roman" w:hAnsi="Times New Roman"/>
                <w:b/>
                <w:sz w:val="20"/>
                <w:szCs w:val="20"/>
                <w:lang w:eastAsia="it-IT"/>
              </w:rPr>
              <w:t>LE FONTI SONORE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Il suono e le sue caratteristiche.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La classificazione degli strumenti musicali.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Le formazioni strumentali.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Dall’orchestra barocca all’orchestra classica all’orchestra sinfonica.</w:t>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Conoscere il suono nella sua dimensione scientifica.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Saper riconoscere gli strumenti all’ascolto</w:t>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Cogliere e comprendere l’aspetto scientifico della musica.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Padroneggiare gli strumenti necessari ad un utilizzo consapevole degli elementi fisici della musica</w:t>
            </w:r>
          </w:p>
        </w:tc>
      </w:tr>
      <w:tr>
        <w:trPr>
          <w:trHeight w:val="277"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b/>
                <w:b/>
              </w:rPr>
            </w:pPr>
            <w:r>
              <w:rPr>
                <w:rFonts w:eastAsia="Times New Roman" w:cs="Times New Roman" w:ascii="Times New Roman" w:hAnsi="Times New Roman"/>
                <w:b/>
                <w:sz w:val="20"/>
                <w:szCs w:val="20"/>
                <w:lang w:eastAsia="it-IT"/>
              </w:rPr>
              <w:t>IL NATALE IN MUSICA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 canti natalizi della tradizione europea e americana;</w:t>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-Saper cantare in coro semplici melodie;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-Saper prendere parte alle esecuzioni vocali e strumentali di gruppo;</w:t>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Fare uso di sistemi di notazione funzionali alla lettura, all’apprendimento e alla riproduzione di brani musicali;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-Sviluppare l’attitudine alla ricerca utilizzando le fonti cartacee e multimediali</w:t>
            </w:r>
          </w:p>
        </w:tc>
      </w:tr>
      <w:tr>
        <w:trPr>
          <w:trHeight w:val="2399"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b/>
                <w:b/>
              </w:rPr>
            </w:pPr>
            <w:r>
              <w:rPr>
                <w:rFonts w:eastAsia="Times New Roman" w:cs="Times New Roman" w:ascii="Times New Roman" w:hAnsi="Times New Roman"/>
                <w:b/>
                <w:sz w:val="20"/>
                <w:szCs w:val="20"/>
                <w:lang w:eastAsia="it-IT"/>
              </w:rPr>
              <w:t>LA CANZONE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La canzone d’autore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-La canzone dagli anni ’50 ad oggi;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-La canzone sociale (gli inni sociali e gli inni nazionali)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Partecipare in modo attivo alla realizzazione di esperienze musicali attraverso l’esecuzione e l’interpretazione di brani strumentali e vocali appartenenti a generi e culture differenti;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-Fare uso del sistema di notazione funzionale alla lettura, all’apprendimento e alla riproduzione di brani musicali;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-Dare significato alle proprie esperienze musicali;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-Sapere impostare una attività di ricerca di notizie storiche e sociali sui canti studiati.</w:t>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Comprendere la funzione della musica di comunicare emozioni e messaggi.</w:t>
            </w:r>
          </w:p>
        </w:tc>
      </w:tr>
      <w:tr>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b/>
                <w:b/>
                <w:sz w:val="20"/>
                <w:szCs w:val="20"/>
                <w:lang w:eastAsia="it-IT"/>
              </w:rPr>
            </w:pPr>
            <w:r>
              <w:rPr>
                <w:rFonts w:eastAsia="Times New Roman" w:cs="Times New Roman" w:ascii="Times New Roman" w:hAnsi="Times New Roman"/>
                <w:b/>
                <w:sz w:val="20"/>
                <w:szCs w:val="20"/>
                <w:lang w:eastAsia="it-IT"/>
              </w:rPr>
            </w:r>
          </w:p>
          <w:p>
            <w:pPr>
              <w:pStyle w:val="Normal"/>
              <w:spacing w:lineRule="auto" w:line="276" w:before="0" w:after="0"/>
              <w:rPr>
                <w:b/>
                <w:b/>
              </w:rPr>
            </w:pPr>
            <w:r>
              <w:rPr>
                <w:rFonts w:eastAsia="Times New Roman" w:cs="Times New Roman" w:ascii="Times New Roman" w:hAnsi="Times New Roman"/>
                <w:b/>
                <w:sz w:val="20"/>
                <w:szCs w:val="20"/>
                <w:lang w:eastAsia="it-IT"/>
              </w:rPr>
              <w:t>LA MUSICA NELLA STORIA</w:t>
            </w:r>
          </w:p>
        </w:tc>
        <w:tc>
          <w:tcPr>
            <w:tcW w:w="3975" w:type="dxa"/>
            <w:gridSpan w:val="2"/>
            <w:tcBorders>
              <w:top w:val="nil"/>
              <w:bottom w:val="nil"/>
              <w:insideH w:val="nil"/>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Il Barocco</w:t>
            </w:r>
          </w:p>
          <w:p>
            <w:pPr>
              <w:pStyle w:val="Normal"/>
              <w:spacing w:lineRule="auto" w:line="276" w:before="0" w:after="0"/>
              <w:rPr>
                <w:b/>
                <w:b/>
                <w:i/>
                <w:i/>
              </w:rPr>
            </w:pPr>
            <w:r>
              <w:rPr>
                <w:rFonts w:eastAsia="Times New Roman" w:cs="Times New Roman" w:ascii="Times New Roman" w:hAnsi="Times New Roman"/>
                <w:sz w:val="20"/>
                <w:szCs w:val="20"/>
                <w:lang w:eastAsia="it-IT"/>
              </w:rPr>
              <w:t>Il Classicismo</w:t>
            </w:r>
          </w:p>
        </w:tc>
        <w:tc>
          <w:tcPr>
            <w:tcW w:w="3966"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Comprendere le funzioni sociali della musica.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Comprendere i significati e le funzioni della musica nei diversi contesti ponendoli anche in relazione alle proprie esperienze.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Cogliere l’evoluzione del linguaggio musicale nella storia.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 xml:space="preserve">Sapere ascoltare un brano musicale  individuandone l’epoca, lo stile, il contesto. </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689"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Comprendere il rapporto tra la musica e gli altri linguaggi artistici</w:t>
            </w:r>
          </w:p>
        </w:tc>
      </w:tr>
    </w:tbl>
    <w:p>
      <w:pPr>
        <w:pStyle w:val="Normal"/>
        <w:rPr/>
      </w:pPr>
      <w:r>
        <w:rPr/>
      </w:r>
    </w:p>
    <w:p>
      <w:pPr>
        <w:pStyle w:val="Normal"/>
        <w:rPr>
          <w:i/>
          <w:i/>
        </w:rPr>
      </w:pPr>
      <w:r>
        <w:rPr>
          <w:i/>
        </w:rPr>
      </w:r>
    </w:p>
    <w:p>
      <w:pPr>
        <w:pStyle w:val="Normal"/>
        <w:rPr>
          <w:i/>
          <w:i/>
        </w:rPr>
      </w:pPr>
      <w:r>
        <w:rPr>
          <w:i/>
        </w:rPr>
      </w:r>
    </w:p>
    <w:tbl>
      <w:tblPr>
        <w:tblStyle w:val="Grigliatabella"/>
        <w:tblW w:w="15702" w:type="dxa"/>
        <w:jc w:val="left"/>
        <w:tblInd w:w="-15" w:type="dxa"/>
        <w:tblCellMar>
          <w:top w:w="0" w:type="dxa"/>
          <w:left w:w="93" w:type="dxa"/>
          <w:bottom w:w="0" w:type="dxa"/>
          <w:right w:w="108" w:type="dxa"/>
        </w:tblCellMar>
        <w:tblLook w:val="04a0"/>
      </w:tblPr>
      <w:tblGrid>
        <w:gridCol w:w="3225"/>
        <w:gridCol w:w="3118"/>
        <w:gridCol w:w="3119"/>
        <w:gridCol w:w="3118"/>
        <w:gridCol w:w="3122"/>
      </w:tblGrid>
      <w:tr>
        <w:trPr>
          <w:trHeight w:val="278" w:hRule="atLeast"/>
        </w:trPr>
        <w:tc>
          <w:tcPr>
            <w:tcW w:w="3225"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Contenuti</w:t>
            </w:r>
          </w:p>
        </w:tc>
        <w:tc>
          <w:tcPr>
            <w:tcW w:w="3118"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Metodologie</w:t>
            </w:r>
          </w:p>
        </w:tc>
        <w:tc>
          <w:tcPr>
            <w:tcW w:w="3119"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Strumenti</w:t>
            </w:r>
          </w:p>
        </w:tc>
        <w:tc>
          <w:tcPr>
            <w:tcW w:w="3118"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Verifiche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122"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Tempi</w:t>
            </w:r>
          </w:p>
        </w:tc>
      </w:tr>
      <w:tr>
        <w:trPr>
          <w:trHeight w:val="277" w:hRule="atLeast"/>
        </w:trPr>
        <w:tc>
          <w:tcPr>
            <w:tcW w:w="3225" w:type="dxa"/>
            <w:tcBorders/>
            <w:shd w:fill="auto" w:val="clear"/>
            <w:tcMar>
              <w:left w:w="93" w:type="dxa"/>
            </w:tcMar>
          </w:tcPr>
          <w:p>
            <w:pPr>
              <w:pStyle w:val="Normal"/>
              <w:spacing w:lineRule="auto" w:line="276" w:before="0" w:after="0"/>
              <w:rPr>
                <w:i/>
                <w:i/>
              </w:rPr>
            </w:pPr>
            <w:r>
              <w:rPr>
                <w:rFonts w:eastAsia="Times New Roman" w:cs="Times New Roman" w:ascii="Times New Roman" w:hAnsi="Times New Roman"/>
                <w:i/>
                <w:sz w:val="20"/>
                <w:szCs w:val="20"/>
                <w:lang w:eastAsia="it-IT"/>
              </w:rPr>
              <w:t>Nuclei fondanti</w:t>
            </w:r>
          </w:p>
          <w:p>
            <w:pPr>
              <w:pStyle w:val="Normal"/>
              <w:spacing w:lineRule="auto" w:line="276" w:before="0" w:after="0"/>
              <w:rPr>
                <w:i/>
                <w:i/>
              </w:rPr>
            </w:pPr>
            <w:r>
              <w:rPr>
                <w:rFonts w:eastAsia="Times New Roman" w:cs="Times New Roman" w:ascii="Times New Roman" w:hAnsi="Times New Roman"/>
                <w:i/>
                <w:sz w:val="20"/>
                <w:szCs w:val="20"/>
                <w:lang w:eastAsia="it-IT"/>
              </w:rPr>
              <w:t>Tematici</w:t>
            </w:r>
          </w:p>
        </w:tc>
        <w:tc>
          <w:tcPr>
            <w:tcW w:w="3118" w:type="dxa"/>
            <w:tcBorders/>
            <w:shd w:fill="auto" w:val="clear"/>
            <w:tcMar>
              <w:left w:w="93" w:type="dxa"/>
            </w:tcMar>
          </w:tcPr>
          <w:p>
            <w:pPr>
              <w:pStyle w:val="Normal"/>
              <w:spacing w:lineRule="auto" w:line="276" w:before="0" w:after="0"/>
              <w:rPr>
                <w:i/>
                <w:i/>
              </w:rPr>
            </w:pPr>
            <w:r>
              <w:rPr>
                <w:rFonts w:eastAsia="Times New Roman" w:cs="Times New Roman" w:ascii="Times New Roman" w:hAnsi="Times New Roman"/>
                <w:i/>
                <w:sz w:val="20"/>
                <w:szCs w:val="20"/>
                <w:lang w:eastAsia="it-IT"/>
              </w:rPr>
              <w:t>Evidenziare in neretto e contrassegnare con la x</w:t>
            </w:r>
          </w:p>
        </w:tc>
        <w:tc>
          <w:tcPr>
            <w:tcW w:w="3119" w:type="dxa"/>
            <w:tcBorders/>
            <w:shd w:fill="auto" w:val="clear"/>
            <w:tcMar>
              <w:left w:w="93" w:type="dxa"/>
            </w:tcMar>
          </w:tcPr>
          <w:p>
            <w:pPr>
              <w:pStyle w:val="Normal"/>
              <w:spacing w:lineRule="auto" w:line="276" w:before="0" w:after="0"/>
              <w:rPr>
                <w:i/>
                <w:i/>
              </w:rPr>
            </w:pPr>
            <w:r>
              <w:rPr>
                <w:rFonts w:eastAsia="Times New Roman" w:cs="Times New Roman" w:ascii="Times New Roman" w:hAnsi="Times New Roman"/>
                <w:i/>
                <w:sz w:val="20"/>
                <w:szCs w:val="20"/>
                <w:lang w:eastAsia="it-IT"/>
              </w:rPr>
              <w:t>Evidenziare in neretto e contrassegnare con la x</w:t>
            </w:r>
          </w:p>
        </w:tc>
        <w:tc>
          <w:tcPr>
            <w:tcW w:w="311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i/>
                <w:sz w:val="20"/>
                <w:szCs w:val="20"/>
                <w:lang w:eastAsia="it-IT"/>
              </w:rPr>
              <w:t>Evidenziare in neretto e contrassegnare con la x</w:t>
            </w:r>
          </w:p>
        </w:tc>
        <w:tc>
          <w:tcPr>
            <w:tcW w:w="3122" w:type="dxa"/>
            <w:tcBorders/>
            <w:shd w:fill="auto" w:val="clear"/>
            <w:tcMar>
              <w:left w:w="93" w:type="dxa"/>
            </w:tcMar>
          </w:tcPr>
          <w:p>
            <w:pPr>
              <w:pStyle w:val="Normal"/>
              <w:spacing w:lineRule="auto" w:line="276" w:before="0" w:after="0"/>
              <w:rPr>
                <w:i/>
                <w:i/>
              </w:rPr>
            </w:pPr>
            <w:r>
              <w:rPr>
                <w:rFonts w:eastAsia="Times New Roman" w:cs="Times New Roman" w:ascii="Times New Roman" w:hAnsi="Times New Roman"/>
                <w:sz w:val="20"/>
                <w:szCs w:val="20"/>
                <w:lang w:eastAsia="it-IT"/>
              </w:rPr>
              <w:t>I</w:t>
            </w:r>
            <w:r>
              <w:rPr>
                <w:rFonts w:eastAsia="Times New Roman" w:cs="Times New Roman" w:ascii="Times New Roman" w:hAnsi="Times New Roman"/>
                <w:i/>
                <w:sz w:val="20"/>
                <w:szCs w:val="20"/>
                <w:lang w:eastAsia="it-IT"/>
              </w:rPr>
              <w:t>ndicare il bimestre, il quadrimestre o il periodo di riferimento</w:t>
            </w:r>
          </w:p>
        </w:tc>
      </w:tr>
      <w:tr>
        <w:trPr>
          <w:trHeight w:val="277" w:hRule="atLeast"/>
        </w:trPr>
        <w:tc>
          <w:tcPr>
            <w:tcW w:w="3225"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11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Lezione dialogata</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Apprendimento cooperativo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Gioco di ruolo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 solving</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Learning by doing (didattica laboratoriale)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Esercitazione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 xml:space="preserve">Esperienza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9"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Libro di testo</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Testi integrativi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Manuali / Riviste</w:t>
            </w:r>
          </w:p>
          <w:p>
            <w:pPr>
              <w:pStyle w:val="Normal"/>
              <w:spacing w:lineRule="auto" w:line="276" w:before="0" w:after="0"/>
              <w:rPr>
                <w:lang w:val="en-GB"/>
              </w:rPr>
            </w:pPr>
            <w:r>
              <w:rPr>
                <w:rFonts w:eastAsia="Times New Roman" w:cs="Times New Roman" w:ascii="Times New Roman" w:hAnsi="Times New Roman"/>
                <w:sz w:val="20"/>
                <w:szCs w:val="20"/>
                <w:lang w:val="en-GB" w:eastAsia="it-IT"/>
              </w:rPr>
              <w:t>X   Internet / Materiale on-line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val="en-GB" w:eastAsia="it-IT"/>
              </w:rPr>
              <w:t xml:space="preserve">X     </w:t>
            </w:r>
            <w:r>
              <w:rPr>
                <w:rFonts w:eastAsia="Times New Roman" w:cs="Times New Roman" w:ascii="Times New Roman" w:hAnsi="Times New Roman"/>
                <w:sz w:val="20"/>
                <w:szCs w:val="20"/>
                <w:lang w:eastAsia="it-IT"/>
              </w:rPr>
              <w:t>LIM</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val="en-US" w:eastAsia="it-IT"/>
              </w:rPr>
              <w:t xml:space="preserve">Laboratorio _____________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semistrutturate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Temi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Relazioni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Articoli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Esercizi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Elaborati grafici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pratiche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Colloquio</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tc>
        <w:tc>
          <w:tcPr>
            <w:tcW w:w="3122"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r>
      <w:tr>
        <w:trPr>
          <w:trHeight w:val="277" w:hRule="atLeast"/>
        </w:trPr>
        <w:tc>
          <w:tcPr>
            <w:tcW w:w="3225"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Lezione dialogata</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Apprendimento cooperativo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Gioco di ruolo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 solving</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Learning by doing (didattica laboratoriale)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Esercitazione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 xml:space="preserve">Esperienza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9"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Libro di testo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Testi integrativi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Manuali / Riviste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Internet / Materiale on-line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LIM</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val="en-US" w:eastAsia="it-IT"/>
              </w:rPr>
              <w:t xml:space="preserve">Laboratorio _____________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semistrutturate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Relazioni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Articoli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Esercizi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Elaborati grafici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pratiche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Colloquio</w:t>
            </w:r>
          </w:p>
          <w:p>
            <w:pPr>
              <w:pStyle w:val="Normal"/>
              <w:spacing w:lineRule="auto" w:line="276" w:before="0" w:after="0"/>
              <w:rPr>
                <w:lang w:val="en-US"/>
              </w:rPr>
            </w:pPr>
            <w:r>
              <w:rPr>
                <w:rFonts w:eastAsia="Times New Roman" w:cs="Times New Roman" w:ascii="Times New Roman" w:hAnsi="Times New Roman"/>
                <w:sz w:val="20"/>
                <w:szCs w:val="20"/>
                <w:lang w:val="en-US" w:eastAsia="it-IT"/>
              </w:rPr>
              <w:t>Altro ___________________</w:t>
            </w:r>
          </w:p>
        </w:tc>
        <w:tc>
          <w:tcPr>
            <w:tcW w:w="3122"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r>
      <w:tr>
        <w:trPr>
          <w:trHeight w:val="277" w:hRule="atLeast"/>
        </w:trPr>
        <w:tc>
          <w:tcPr>
            <w:tcW w:w="3225"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Lezione dialogata</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Apprendimento cooperativo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Gioco di ruolo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 solving</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Learning by doing (didattica laboratoriale)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Esercitazione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Esperienza di laboratorio</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9"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Libro di testo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Testi integrativi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Manuali / Riviste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Internet / Materiale on-line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LIM</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val="en-US" w:eastAsia="it-IT"/>
              </w:rPr>
              <w:t xml:space="preserve">Laboratorio _____________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semistrutturate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Relazioni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Articoli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Esercizi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Elaborati grafici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pratiche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Colloquio</w:t>
            </w:r>
          </w:p>
          <w:p>
            <w:pPr>
              <w:pStyle w:val="Normal"/>
              <w:spacing w:lineRule="auto" w:line="276" w:before="0" w:after="0"/>
              <w:rPr>
                <w:lang w:val="en-US"/>
              </w:rPr>
            </w:pPr>
            <w:r>
              <w:rPr>
                <w:rFonts w:eastAsia="Times New Roman" w:cs="Times New Roman" w:ascii="Times New Roman" w:hAnsi="Times New Roman"/>
                <w:sz w:val="20"/>
                <w:szCs w:val="20"/>
                <w:lang w:val="en-US" w:eastAsia="it-IT"/>
              </w:rPr>
              <w:t>Altro ___________________</w:t>
            </w:r>
          </w:p>
        </w:tc>
        <w:tc>
          <w:tcPr>
            <w:tcW w:w="3122"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r>
      <w:tr>
        <w:trPr/>
        <w:tc>
          <w:tcPr>
            <w:tcW w:w="15702" w:type="dxa"/>
            <w:gridSpan w:val="5"/>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VALUTAZIONE</w:t>
            </w:r>
          </w:p>
        </w:tc>
      </w:tr>
    </w:tbl>
    <w:p>
      <w:pPr>
        <w:pStyle w:val="Normal"/>
        <w:rPr/>
      </w:pPr>
      <w:r>
        <w:rPr/>
      </w:r>
    </w:p>
    <w:p>
      <w:pPr>
        <w:pStyle w:val="Normal"/>
        <w:rPr/>
      </w:pPr>
      <w:r>
        <w:rPr/>
      </w:r>
    </w:p>
    <w:p>
      <w:pPr>
        <w:pStyle w:val="Normal"/>
        <w:rPr/>
      </w:pPr>
      <w:r>
        <w:rPr/>
        <w:t>La valutazione sarà effettuata utilizzando le griglie approvate dal Collegio Docenti con il POF, che per completezza si allegano al presente Piano di lavoro disciplinare.</w:t>
      </w:r>
    </w:p>
    <w:p>
      <w:pPr>
        <w:pStyle w:val="Normal"/>
        <w:rPr/>
      </w:pPr>
      <w:r>
        <w:rPr/>
        <w:t>Il coordinatore di classe avrà cura di introdurre nel registro di classe tutte le griglie di valutazione.</w:t>
      </w:r>
    </w:p>
    <w:p>
      <w:pPr>
        <w:pStyle w:val="Normal"/>
        <w:rPr/>
      </w:pPr>
      <w:r>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rPr/>
      </w:pPr>
      <w:r>
        <w:rPr/>
        <w:t xml:space="preserve">Considerata la valenza orientativa e formativa della valutazione i </w:t>
      </w:r>
      <w:r>
        <w:rPr>
          <w:bCs/>
        </w:rPr>
        <w:t>compiti scritti saranno restituiti corretti agli studenti entro 15  gg. dal loro svolgimento, in ogni caso la soluzione corretta sarà discussa in classe nella lezioni successive allo svolgimento della prova.</w:t>
      </w:r>
      <w:r>
        <w:rPr/>
        <w:t xml:space="preserve"> </w:t>
      </w:r>
      <w:r>
        <w:rPr>
          <w:bCs/>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rPr>
          <w:bCs/>
        </w:rPr>
      </w:pPr>
      <w:r>
        <w:rPr>
          <w:bCs/>
        </w:rPr>
        <w:t>I colloqui con le famiglie, saranno condotti nel rispetto della trasparenza e della chiarezza dell’informazione, ricordando sempre la valenza formativa e orientativa della valutazione.</w:t>
      </w:r>
    </w:p>
    <w:p>
      <w:pPr>
        <w:pStyle w:val="Normal"/>
        <w:rPr>
          <w:bCs/>
        </w:rPr>
      </w:pPr>
      <w:r>
        <w:rPr>
          <w:bCs/>
        </w:rPr>
      </w:r>
    </w:p>
    <w:p>
      <w:pPr>
        <w:pStyle w:val="Normal"/>
        <w:rPr/>
      </w:pPr>
      <w:r>
        <w:rPr/>
      </w:r>
    </w:p>
    <w:p>
      <w:pPr>
        <w:pStyle w:val="Normal"/>
        <w:rPr/>
      </w:pPr>
      <w:r>
        <w:rPr/>
        <w:t>La valutazione terrà inoltre conto dei seguenti elementi:</w:t>
      </w:r>
    </w:p>
    <w:p>
      <w:pPr>
        <w:pStyle w:val="Normal"/>
        <w:rPr/>
      </w:pPr>
      <w:r>
        <w:rPr/>
      </w:r>
    </w:p>
    <w:p>
      <w:pPr>
        <w:pStyle w:val="Normal"/>
        <w:numPr>
          <w:ilvl w:val="0"/>
          <w:numId w:val="2"/>
        </w:numPr>
        <w:rPr/>
      </w:pPr>
      <w:r>
        <w:rPr/>
        <w:t>la frequenza e la partecipazione dell’allievo;</w:t>
      </w:r>
    </w:p>
    <w:p>
      <w:pPr>
        <w:pStyle w:val="Normal"/>
        <w:numPr>
          <w:ilvl w:val="0"/>
          <w:numId w:val="2"/>
        </w:numPr>
        <w:rPr/>
      </w:pPr>
      <w:r>
        <w:rPr/>
        <w:t>il grado di socializzazione e la correttezza nelle relazioni;</w:t>
      </w:r>
    </w:p>
    <w:p>
      <w:pPr>
        <w:pStyle w:val="Normal"/>
        <w:numPr>
          <w:ilvl w:val="0"/>
          <w:numId w:val="2"/>
        </w:numPr>
        <w:rPr/>
      </w:pPr>
      <w:r>
        <w:rPr/>
        <w:t>la capacità di utilizzare un metodo di lavoro produttivo;</w:t>
      </w:r>
    </w:p>
    <w:p>
      <w:pPr>
        <w:pStyle w:val="Normal"/>
        <w:numPr>
          <w:ilvl w:val="0"/>
          <w:numId w:val="2"/>
        </w:numPr>
        <w:rPr/>
      </w:pPr>
      <w:r>
        <w:rPr/>
        <w:t>Il senso di responsabilità e di autonomia nello svolgimento dei compiti assegnati;</w:t>
      </w:r>
    </w:p>
    <w:p>
      <w:pPr>
        <w:pStyle w:val="Normal"/>
        <w:numPr>
          <w:ilvl w:val="0"/>
          <w:numId w:val="2"/>
        </w:numPr>
        <w:rPr/>
      </w:pPr>
      <w:r>
        <w:rPr/>
        <w:t>la frequenza delle attività integrative di recupero o di potenziamento, rispettivamente consigliate e proposte;</w:t>
      </w:r>
    </w:p>
    <w:p>
      <w:pPr>
        <w:pStyle w:val="Normal"/>
        <w:numPr>
          <w:ilvl w:val="0"/>
          <w:numId w:val="2"/>
        </w:numPr>
        <w:rPr/>
      </w:pPr>
      <w:r>
        <w:rPr/>
        <w:t>la progressione nell’apprendimento rispetto ai livelli di partenza e alle potenzialità riscontrate.</w:t>
      </w:r>
    </w:p>
    <w:p>
      <w:pPr>
        <w:pStyle w:val="Normal"/>
        <w:rPr/>
      </w:pPr>
      <w:r>
        <w:rPr/>
      </w:r>
    </w:p>
    <w:tbl>
      <w:tblPr>
        <w:tblStyle w:val="Grigliatabella"/>
        <w:tblW w:w="14993" w:type="dxa"/>
        <w:jc w:val="left"/>
        <w:tblInd w:w="-15" w:type="dxa"/>
        <w:tblCellMar>
          <w:top w:w="0" w:type="dxa"/>
          <w:left w:w="93" w:type="dxa"/>
          <w:bottom w:w="0" w:type="dxa"/>
          <w:right w:w="108" w:type="dxa"/>
        </w:tblCellMar>
        <w:tblLook w:val="04a0"/>
      </w:tblPr>
      <w:tblGrid>
        <w:gridCol w:w="14993"/>
      </w:tblGrid>
      <w:tr>
        <w:trPr/>
        <w:tc>
          <w:tcPr>
            <w:tcW w:w="14993"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OBIETTIVI MINIMI</w:t>
            </w:r>
          </w:p>
        </w:tc>
      </w:tr>
    </w:tbl>
    <w:p>
      <w:pPr>
        <w:pStyle w:val="Normal"/>
        <w:rPr/>
      </w:pPr>
      <w:r>
        <w:rPr/>
      </w:r>
    </w:p>
    <w:p>
      <w:pPr>
        <w:pStyle w:val="Normal"/>
        <w:rPr/>
      </w:pPr>
      <w:r>
        <w:rPr/>
        <w:t>Ai fini dell’ammissione alla classe successiva, l’allievo  a fine anno dovrà essere in grado di:</w:t>
      </w:r>
    </w:p>
    <w:p>
      <w:pPr>
        <w:pStyle w:val="Normal"/>
        <w:rPr/>
      </w:pPr>
      <w:r>
        <w:rPr/>
        <w:t xml:space="preserve">       </w:t>
      </w:r>
      <w:r>
        <w:rPr/>
        <w:t>X     Descrivere con un linguaggio semplice, chiaro  e sufficientemente corretto gli aspetti essenziali dei nuclei fondanti;</w:t>
      </w:r>
    </w:p>
    <w:p>
      <w:pPr>
        <w:pStyle w:val="Normal"/>
        <w:rPr/>
      </w:pPr>
      <w:r>
        <w:rPr/>
        <w:t xml:space="preserve">       </w:t>
      </w:r>
      <w:r>
        <w:rPr/>
        <w:t>X     Applicare i principi, i procedimenti e le regole apprese in ambiti operativi semplici e noti, con sufficiente autonomia;</w:t>
      </w:r>
    </w:p>
    <w:p>
      <w:pPr>
        <w:pStyle w:val="Normal"/>
        <w:numPr>
          <w:ilvl w:val="0"/>
          <w:numId w:val="3"/>
        </w:numPr>
        <w:rPr/>
      </w:pPr>
      <w:r>
        <w:rPr/>
        <w:t>Utilizzare le proprie conoscenze e abilità per:</w:t>
      </w:r>
    </w:p>
    <w:p>
      <w:pPr>
        <w:pStyle w:val="Normal"/>
        <w:rPr>
          <w:i/>
          <w:i/>
        </w:rPr>
      </w:pPr>
      <w:r>
        <w:rPr>
          <w:i/>
        </w:rPr>
        <w:t>(selezionare con la X le competenze attinenti la propria disciplina, implementando e differenziando le opzioni qualora necessario)</w:t>
      </w:r>
    </w:p>
    <w:p>
      <w:pPr>
        <w:pStyle w:val="Normal"/>
        <w:ind w:left="1485" w:hanging="0"/>
        <w:rPr/>
      </w:pPr>
      <w:r>
        <w:rPr/>
        <w:t>X     Illustrare e descrivere con sufficiente chiarezza e completezza fatti, situazioni, eventi, fenomeni;</w:t>
      </w:r>
    </w:p>
    <w:p>
      <w:pPr>
        <w:pStyle w:val="Normal"/>
        <w:numPr>
          <w:ilvl w:val="0"/>
          <w:numId w:val="4"/>
        </w:numPr>
        <w:rPr/>
      </w:pPr>
      <w:r>
        <w:rPr/>
        <w:t>Utilizzare in modo sufficientemente corretto e autonomo la terminologia di base delle lingue straniere per formulare quesiti e dare risposte in situazioni di dialogo riferite a contesti semplici e noti;</w:t>
      </w:r>
    </w:p>
    <w:p>
      <w:pPr>
        <w:pStyle w:val="Normal"/>
        <w:numPr>
          <w:ilvl w:val="0"/>
          <w:numId w:val="4"/>
        </w:numPr>
        <w:rPr/>
      </w:pPr>
      <w:r>
        <w:rPr/>
        <w:t>analizzare e proporre soluzioni in riferimento a problematiche semplici e note;</w:t>
      </w:r>
    </w:p>
    <w:p>
      <w:pPr>
        <w:pStyle w:val="Normal"/>
        <w:numPr>
          <w:ilvl w:val="0"/>
          <w:numId w:val="4"/>
        </w:numPr>
        <w:rPr/>
      </w:pPr>
      <w:r>
        <w:rPr/>
        <w:t>utilizzare gli strumenti grafici di base in semplici e noti contesti operativi.</w:t>
      </w:r>
    </w:p>
    <w:p>
      <w:pPr>
        <w:pStyle w:val="Normal"/>
        <w:rPr/>
      </w:pPr>
      <w:r>
        <w:rPr/>
      </w:r>
    </w:p>
    <w:p>
      <w:pPr>
        <w:pStyle w:val="Normal"/>
        <w:rPr/>
      </w:pPr>
      <w:r>
        <w:rPr/>
      </w:r>
    </w:p>
    <w:p>
      <w:pPr>
        <w:pStyle w:val="Normal"/>
        <w:rPr/>
      </w:pPr>
      <w:r>
        <w:rPr/>
      </w:r>
    </w:p>
    <w:tbl>
      <w:tblPr>
        <w:tblW w:w="1499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7479"/>
        <w:gridCol w:w="7512"/>
      </w:tblGrid>
      <w:tr>
        <w:trPr/>
        <w:tc>
          <w:tcPr>
            <w:tcW w:w="7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pPr>
            <w:r>
              <w:rPr/>
              <w:t>MODALITÀ DI RECUPERO</w:t>
            </w:r>
          </w:p>
        </w:tc>
        <w:tc>
          <w:tcPr>
            <w:tcW w:w="7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pPr>
            <w:r>
              <w:rPr/>
              <w:t>STRATEGIE DIDATTICHE</w:t>
            </w:r>
          </w:p>
        </w:tc>
      </w:tr>
      <w:tr>
        <w:trPr/>
        <w:tc>
          <w:tcPr>
            <w:tcW w:w="7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numPr>
                <w:ilvl w:val="0"/>
                <w:numId w:val="6"/>
              </w:numPr>
              <w:rPr/>
            </w:pPr>
            <w:r>
              <w:rPr/>
              <w:t>Recupero curricolare in pausa didattica</w:t>
            </w:r>
          </w:p>
          <w:p>
            <w:pPr>
              <w:pStyle w:val="Normal"/>
              <w:rPr/>
            </w:pPr>
            <w:r>
              <w:rPr/>
            </w:r>
          </w:p>
          <w:p>
            <w:pPr>
              <w:pStyle w:val="Normal"/>
              <w:numPr>
                <w:ilvl w:val="0"/>
                <w:numId w:val="6"/>
              </w:numPr>
              <w:rPr/>
            </w:pPr>
            <w:r>
              <w:rPr/>
              <w:t>Recupero mediante progetto curricolare</w:t>
            </w:r>
          </w:p>
          <w:p>
            <w:pPr>
              <w:pStyle w:val="Normal"/>
              <w:rPr/>
            </w:pPr>
            <w:r>
              <w:rPr/>
            </w:r>
          </w:p>
          <w:p>
            <w:pPr>
              <w:pStyle w:val="Normal"/>
              <w:numPr>
                <w:ilvl w:val="0"/>
                <w:numId w:val="6"/>
              </w:numPr>
              <w:rPr/>
            </w:pPr>
            <w:r>
              <w:rPr/>
              <w:t>Recupero mediante progetti extracurricolari</w:t>
            </w:r>
          </w:p>
          <w:p>
            <w:pPr>
              <w:pStyle w:val="Normal"/>
              <w:rPr/>
            </w:pPr>
            <w:r>
              <w:rPr/>
            </w:r>
          </w:p>
          <w:p>
            <w:pPr>
              <w:pStyle w:val="Normal"/>
              <w:numPr>
                <w:ilvl w:val="0"/>
                <w:numId w:val="6"/>
              </w:numPr>
              <w:rPr/>
            </w:pPr>
            <w:r>
              <w:rPr/>
              <w:t>Altro  ____________________________________________</w:t>
            </w:r>
          </w:p>
          <w:p>
            <w:pPr>
              <w:pStyle w:val="Normal"/>
              <w:rPr>
                <w:b/>
                <w:b/>
              </w:rPr>
            </w:pPr>
            <w:r>
              <w:rPr>
                <w:b/>
              </w:rPr>
            </w:r>
          </w:p>
          <w:p>
            <w:pPr>
              <w:pStyle w:val="Normal"/>
              <w:spacing w:before="0" w:after="200"/>
              <w:rPr>
                <w:b/>
                <w:b/>
              </w:rPr>
            </w:pPr>
            <w:r>
              <w:rPr>
                <w:b/>
              </w:rPr>
            </w:r>
          </w:p>
        </w:tc>
        <w:tc>
          <w:tcPr>
            <w:tcW w:w="7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numPr>
                <w:ilvl w:val="0"/>
                <w:numId w:val="5"/>
              </w:numPr>
              <w:rPr/>
            </w:pPr>
            <w:r>
              <w:rPr/>
              <w:t>Didattica laboratoriale</w:t>
            </w:r>
          </w:p>
          <w:p>
            <w:pPr>
              <w:pStyle w:val="Normal"/>
              <w:rPr/>
            </w:pPr>
            <w:r>
              <w:rPr/>
            </w:r>
          </w:p>
          <w:p>
            <w:pPr>
              <w:pStyle w:val="Normal"/>
              <w:numPr>
                <w:ilvl w:val="0"/>
                <w:numId w:val="5"/>
              </w:numPr>
              <w:rPr/>
            </w:pPr>
            <w:r>
              <w:rPr/>
              <w:t xml:space="preserve">Lavoro di gruppo: cooperative learning e/o peer education </w:t>
            </w:r>
          </w:p>
          <w:p>
            <w:pPr>
              <w:pStyle w:val="Normal"/>
              <w:rPr/>
            </w:pPr>
            <w:r>
              <w:rPr/>
            </w:r>
          </w:p>
          <w:p>
            <w:pPr>
              <w:pStyle w:val="Normal"/>
              <w:numPr>
                <w:ilvl w:val="0"/>
                <w:numId w:val="5"/>
              </w:numPr>
              <w:rPr/>
            </w:pPr>
            <w:r>
              <w:rPr/>
              <w:t>Tutoring del docente</w:t>
            </w:r>
          </w:p>
          <w:p>
            <w:pPr>
              <w:pStyle w:val="Normal"/>
              <w:rPr/>
            </w:pPr>
            <w:r>
              <w:rPr/>
            </w:r>
          </w:p>
          <w:p>
            <w:pPr>
              <w:pStyle w:val="Normal"/>
              <w:numPr>
                <w:ilvl w:val="0"/>
                <w:numId w:val="5"/>
              </w:numPr>
              <w:rPr/>
            </w:pPr>
            <w:r>
              <w:rPr/>
              <w:t>Altro ________________________________________________</w:t>
            </w:r>
          </w:p>
          <w:p>
            <w:pPr>
              <w:pStyle w:val="Normal"/>
              <w:spacing w:before="0" w:after="200"/>
              <w:rPr>
                <w:b/>
                <w:b/>
              </w:rPr>
            </w:pPr>
            <w:r>
              <w:rPr>
                <w:b/>
              </w:rP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pPr>
            <w:r>
              <w:rPr/>
              <w:t>ATTIVITA’ PREVISTE PER LA VALORIZZAZIONE DELLE ECCELLENZE</w:t>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numPr>
                <w:ilvl w:val="0"/>
                <w:numId w:val="7"/>
              </w:numPr>
              <w:rPr/>
            </w:pPr>
            <w:r>
              <w:rPr/>
              <w:t>Approfondimento, anche mediante materiale didattico on – line</w:t>
            </w:r>
          </w:p>
          <w:p>
            <w:pPr>
              <w:pStyle w:val="Normal"/>
              <w:numPr>
                <w:ilvl w:val="0"/>
                <w:numId w:val="7"/>
              </w:numPr>
              <w:rPr/>
            </w:pPr>
            <w:r>
              <w:rPr/>
              <w:t>Tutoring dei compagni</w:t>
            </w:r>
          </w:p>
          <w:p>
            <w:pPr>
              <w:pStyle w:val="Normal"/>
              <w:numPr>
                <w:ilvl w:val="0"/>
                <w:numId w:val="7"/>
              </w:numPr>
              <w:spacing w:before="0" w:after="200"/>
              <w:rPr/>
            </w:pPr>
            <w:r>
              <w:rPr/>
              <w:t>Progetti extracurricolari</w:t>
            </w:r>
          </w:p>
        </w:tc>
      </w:tr>
    </w:tbl>
    <w:p>
      <w:pPr>
        <w:pStyle w:val="Normal"/>
        <w:rPr/>
      </w:pPr>
      <w:r>
        <w:rPr/>
      </w:r>
    </w:p>
    <w:p>
      <w:pPr>
        <w:pStyle w:val="Normal"/>
        <w:rPr/>
      </w:pPr>
      <w:r>
        <w:rPr/>
      </w:r>
    </w:p>
    <w:p>
      <w:pPr>
        <w:pStyle w:val="Normal"/>
        <w:rPr>
          <w:b/>
          <w:b/>
        </w:rPr>
      </w:pPr>
      <w:r>
        <w:rPr>
          <w:b/>
        </w:rPr>
      </w:r>
    </w:p>
    <w:tbl>
      <w:tblPr>
        <w:tblW w:w="747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2492"/>
        <w:gridCol w:w="2493"/>
        <w:gridCol w:w="2493"/>
      </w:tblGrid>
      <w:tr>
        <w:trPr/>
        <w:tc>
          <w:tcPr>
            <w:tcW w:w="74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themeFill="background2" w:val="clear"/>
            <w:tcMar>
              <w:left w:w="93" w:type="dxa"/>
            </w:tcMar>
          </w:tcPr>
          <w:p>
            <w:pPr>
              <w:pStyle w:val="Normal"/>
              <w:spacing w:lineRule="auto" w:line="276"/>
              <w:rPr/>
            </w:pPr>
            <w:r>
              <w:rPr/>
              <w:t>NUMERO MINIMO VERIFICHE</w:t>
            </w:r>
          </w:p>
          <w:p>
            <w:pPr>
              <w:pStyle w:val="Normal"/>
              <w:widowControl/>
              <w:bidi w:val="0"/>
              <w:spacing w:lineRule="auto" w:line="276" w:before="0" w:after="200"/>
              <w:jc w:val="left"/>
              <w:rPr/>
            </w:pPr>
            <w:r>
              <w:rPr/>
            </w:r>
          </w:p>
        </w:tc>
      </w:tr>
      <w:tr>
        <w:trPr/>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F7F7F" w:val="clear"/>
            <w:tcMar>
              <w:left w:w="93" w:type="dxa"/>
            </w:tcMar>
          </w:tcPr>
          <w:p>
            <w:pPr>
              <w:pStyle w:val="Normal"/>
              <w:widowControl/>
              <w:bidi w:val="0"/>
              <w:spacing w:lineRule="auto" w:line="276" w:before="0" w:after="200"/>
              <w:jc w:val="left"/>
              <w:rPr/>
            </w:pPr>
            <w:r>
              <w:rPr/>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t>PROVE SCRITTE</w:t>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76"/>
              <w:rPr/>
            </w:pPr>
            <w:r>
              <w:rPr/>
              <w:t>COLLOQUI</w:t>
            </w:r>
          </w:p>
          <w:p>
            <w:pPr>
              <w:pStyle w:val="Normal"/>
              <w:widowControl/>
              <w:bidi w:val="0"/>
              <w:spacing w:lineRule="auto" w:line="276" w:before="0" w:after="200"/>
              <w:jc w:val="left"/>
              <w:rPr/>
            </w:pPr>
            <w:r>
              <w:rPr/>
            </w:r>
          </w:p>
        </w:tc>
      </w:tr>
      <w:tr>
        <w:trPr/>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t xml:space="preserve">I Quadrimestre </w:t>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t>4</w:t>
            </w:r>
          </w:p>
        </w:tc>
      </w:tr>
      <w:tr>
        <w:trPr/>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t>II Quadrimestre</w:t>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bookmarkStart w:id="0" w:name="OLE_LINK36"/>
            <w:bookmarkStart w:id="1" w:name="OLE_LINK37"/>
            <w:bookmarkEnd w:id="0"/>
            <w:bookmarkEnd w:id="1"/>
            <w:r>
              <w:rPr/>
              <w:t>4</w:t>
            </w:r>
          </w:p>
        </w:tc>
      </w:tr>
    </w:tbl>
    <w:p>
      <w:pPr>
        <w:pStyle w:val="Normal"/>
        <w:rPr/>
      </w:pPr>
      <w:r>
        <w:rPr/>
      </w:r>
    </w:p>
    <w:p>
      <w:pPr>
        <w:pStyle w:val="Normal"/>
        <w:rPr/>
      </w:pPr>
      <w:r>
        <w:rPr/>
      </w:r>
    </w:p>
    <w:tbl>
      <w:tblPr>
        <w:tblW w:w="14993"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14993"/>
      </w:tblGrid>
      <w:tr>
        <w:trPr/>
        <w:tc>
          <w:tcPr>
            <w:tcW w:w="14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themeFill="background2" w:val="clear"/>
            <w:tcMar>
              <w:left w:w="93" w:type="dxa"/>
            </w:tcMar>
          </w:tcPr>
          <w:p>
            <w:pPr>
              <w:pStyle w:val="Normal"/>
              <w:widowControl/>
              <w:bidi w:val="0"/>
              <w:spacing w:lineRule="auto" w:line="276" w:before="0" w:after="200"/>
              <w:jc w:val="left"/>
              <w:rPr>
                <w:lang w:val="en-US"/>
              </w:rPr>
            </w:pPr>
            <w:r>
              <w:rPr>
                <w:lang w:val="en-US"/>
              </w:rPr>
              <w:t>PERCORSI PLURIDISCIPLINARI</w:t>
            </w:r>
          </w:p>
        </w:tc>
      </w:tr>
    </w:tbl>
    <w:p>
      <w:pPr>
        <w:pStyle w:val="Normal"/>
        <w:rPr>
          <w:lang w:val="en-US"/>
        </w:rPr>
      </w:pPr>
      <w:r>
        <w:rPr>
          <w:lang w:val="en-US"/>
        </w:rPr>
      </w:r>
    </w:p>
    <w:tbl>
      <w:tblPr>
        <w:tblW w:w="14993"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2802"/>
        <w:gridCol w:w="12190"/>
      </w:tblGrid>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lang w:val="en-US"/>
              </w:rPr>
            </w:pPr>
            <w:r>
              <w:rPr>
                <w:lang w:val="en-US"/>
              </w:rPr>
              <w:t>Titolo</w:t>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lang w:val="en-US"/>
              </w:rPr>
            </w:pPr>
            <w:r>
              <w:rPr>
                <w:lang w:val="en-US"/>
              </w:rPr>
              <w:t>L’ambiente</w:t>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lang w:val="en-US"/>
              </w:rPr>
            </w:pPr>
            <w:r>
              <w:rPr>
                <w:lang w:val="en-US"/>
              </w:rPr>
              <w:t>Discipline</w:t>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t>tutte</w:t>
            </w:r>
          </w:p>
          <w:p>
            <w:pPr>
              <w:pStyle w:val="Normal"/>
              <w:spacing w:before="0" w:after="200"/>
              <w:rPr>
                <w:lang w:val="en-US"/>
              </w:rPr>
            </w:pPr>
            <w:r>
              <w:rPr>
                <w:lang w:val="en-US"/>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lang w:val="en-US"/>
              </w:rPr>
            </w:pPr>
            <w:r>
              <w:rPr>
                <w:lang w:val="en-US"/>
              </w:rPr>
              <w:t>Contenuti</w:t>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r>
          </w:p>
          <w:p>
            <w:pPr>
              <w:pStyle w:val="Normal"/>
              <w:spacing w:before="0" w:after="200"/>
              <w:rPr>
                <w:lang w:val="en-US"/>
              </w:rPr>
            </w:pPr>
            <w:r>
              <w:rPr>
                <w:lang w:val="en-US"/>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t>Conoscenze</w:t>
            </w:r>
          </w:p>
          <w:p>
            <w:pPr>
              <w:pStyle w:val="Normal"/>
              <w:spacing w:before="0" w:after="200"/>
              <w:rPr>
                <w:lang w:val="en-US"/>
              </w:rPr>
            </w:pPr>
            <w:r>
              <w:rPr>
                <w:lang w:val="en-US"/>
              </w:rPr>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lang w:val="en-US"/>
              </w:rPr>
            </w:pPr>
            <w:r>
              <w:rPr>
                <w:lang w:val="en-US"/>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t>Abilità</w:t>
            </w:r>
          </w:p>
          <w:p>
            <w:pPr>
              <w:pStyle w:val="Normal"/>
              <w:spacing w:before="0" w:after="200"/>
              <w:rPr>
                <w:lang w:val="en-US"/>
              </w:rPr>
            </w:pPr>
            <w:r>
              <w:rPr>
                <w:lang w:val="en-US"/>
              </w:rPr>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lang w:val="en-US"/>
              </w:rPr>
            </w:pPr>
            <w:r>
              <w:rPr>
                <w:lang w:val="en-US"/>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t>Competenze</w:t>
            </w:r>
          </w:p>
          <w:p>
            <w:pPr>
              <w:pStyle w:val="Normal"/>
              <w:spacing w:before="0" w:after="200"/>
              <w:rPr>
                <w:lang w:val="en-US"/>
              </w:rPr>
            </w:pPr>
            <w:r>
              <w:rPr>
                <w:lang w:val="en-US"/>
              </w:rPr>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lang w:val="en-US"/>
              </w:rPr>
            </w:pPr>
            <w:r>
              <w:rPr>
                <w:lang w:val="en-US"/>
              </w:rPr>
            </w:r>
          </w:p>
        </w:tc>
      </w:tr>
    </w:tbl>
    <w:p>
      <w:pPr>
        <w:pStyle w:val="Normal"/>
        <w:rPr/>
      </w:pPr>
      <w:r>
        <w:rPr/>
      </w:r>
    </w:p>
    <w:p>
      <w:pPr>
        <w:pStyle w:val="Normal"/>
        <w:rPr/>
      </w:pPr>
      <w:r>
        <w:rPr/>
        <w:t>Per ogni altra indicazione non riportata nella presente programmazione si rinvia alle scelte educative e didattiche indicate nel POF e nel Piano di Lavoro Annuale del Consiglio di classe.</w:t>
      </w:r>
    </w:p>
    <w:p>
      <w:pPr>
        <w:pStyle w:val="Normal"/>
        <w:rPr/>
      </w:pPr>
      <w:r>
        <w:rPr/>
      </w:r>
    </w:p>
    <w:p>
      <w:pPr>
        <w:pStyle w:val="Normal"/>
        <w:rPr/>
      </w:pPr>
      <w:r>
        <w:rPr/>
        <w:t xml:space="preserve">Torano C.,  26 / 11 / 2019                                                                                                                            Il Docente    </w:t>
      </w:r>
      <w:r>
        <w:rPr>
          <w:b/>
          <w:i/>
        </w:rPr>
        <w:t>Pasquale Naccarato</w:t>
      </w:r>
    </w:p>
    <w:p>
      <w:pPr>
        <w:pStyle w:val="Normal"/>
        <w:rPr/>
      </w:pPr>
      <w:r>
        <w:rPr/>
      </w:r>
    </w:p>
    <w:p>
      <w:pPr>
        <w:pStyle w:val="Normal"/>
        <w:spacing w:before="0" w:after="200"/>
        <w:rPr/>
      </w:pPr>
      <w:r>
        <w:rPr/>
      </w:r>
    </w:p>
    <w:sectPr>
      <w:type w:val="nextPage"/>
      <w:pgSz w:orient="landscape" w:w="16838" w:h="11906"/>
      <w:pgMar w:left="851"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IGDT">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IGDT" w:hAnsi="AIGDT" w:cs="AIGDT" w:hint="default"/>
        <w:sz w:val="20"/>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85" w:hanging="360"/>
      </w:pPr>
      <w:rPr>
        <w:rFonts w:ascii="AIGDT" w:hAnsi="AIGDT" w:cs="AIGDT" w:hint="default"/>
        <w:rFonts w:cs="AIGD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7f08"/>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1e5d22"/>
    <w:rPr>
      <w:rFonts w:ascii="Times New Roman" w:hAnsi="Times New Roman" w:eastAsia="Times New Roman" w:cs="Times New Roman"/>
      <w:sz w:val="24"/>
      <w:szCs w:val="24"/>
      <w:lang w:eastAsia="it-IT"/>
    </w:rPr>
  </w:style>
  <w:style w:type="character" w:styleId="Pagenumber">
    <w:name w:val="page number"/>
    <w:basedOn w:val="DefaultParagraphFont"/>
    <w:uiPriority w:val="99"/>
    <w:qFormat/>
    <w:rsid w:val="001e5d22"/>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AIGDT"/>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Times New Roman" w:hAnsi="Times New Roman" w:cs="AIGDT"/>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AIGDT"/>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AIGDT"/>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AIGDT"/>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AIGDT"/>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AIGDT"/>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Times New Roman" w:hAnsi="Times New Roman" w:cs="AIGDT"/>
      <w:sz w:val="20"/>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Wingdings"/>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AIGDT"/>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AIGDT"/>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AIGDT"/>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AIGDT"/>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AIGDT"/>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Times New Roman" w:hAnsi="Times New Roman" w:cs="AIGDT"/>
      <w:sz w:val="20"/>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Wingdings"/>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AIGDT"/>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AIGDT"/>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AIGDT"/>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AIGDT"/>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Footer"/>
    <w:basedOn w:val="Normal"/>
    <w:link w:val="PidipaginaCarattere"/>
    <w:uiPriority w:val="99"/>
    <w:rsid w:val="001e5d22"/>
    <w:pPr>
      <w:tabs>
        <w:tab w:val="center" w:pos="4819" w:leader="none"/>
        <w:tab w:val="right" w:pos="9638" w:leader="none"/>
      </w:tabs>
      <w:spacing w:lineRule="auto" w:line="240" w:before="0" w:after="0"/>
    </w:pPr>
    <w:rPr>
      <w:rFonts w:ascii="Times New Roman" w:hAnsi="Times New Roman" w:eastAsia="Times New Roman" w:cs="Times New Roman"/>
      <w:sz w:val="24"/>
      <w:szCs w:val="24"/>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1e5d22"/>
    <w:pPr>
      <w:spacing w:after="0" w:line="240" w:lineRule="auto"/>
    </w:pPr>
    <w:rPr>
      <w:lang w:eastAsia="it-IT"/>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LibreOffice/5.2.0.4$Windows_x86 LibreOffice_project/066b007f5ebcc236395c7d282ba488bca6720265</Application>
  <Pages>10</Pages>
  <Words>1364</Words>
  <Characters>8287</Characters>
  <CharactersWithSpaces>9919</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2019-11-26T13:24:00Z</dcterms:created>
  <dc:creator>Dealer</dc:creator>
  <dc:description/>
  <dc:language>it-IT</dc:language>
  <cp:lastModifiedBy/>
  <dcterms:modified xsi:type="dcterms:W3CDTF">2019-11-26T18:27:55Z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